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A"/>
        <w:spacing w:after="0" w:line="276" w:lineRule="auto"/>
        <w:jc w:val="center"/>
        <w:rPr>
          <w:rFonts w:ascii="Times New Roman" w:hAnsi="Times New Roman"/>
          <w:b w:val="1"/>
          <w:bCs w:val="1"/>
          <w:outline w:val="0"/>
          <w:color w:val="000000"/>
          <w:sz w:val="24"/>
          <w:szCs w:val="24"/>
          <w:u w:val="single" w:color="000000"/>
          <w14:textFill>
            <w14:solidFill>
              <w14:srgbClr w14:val="000000"/>
            </w14:solidFill>
          </w14:textFill>
        </w:rPr>
      </w:pPr>
      <w:r>
        <w:rPr>
          <w:rFonts w:ascii="Times New Roman" w:hAnsi="Times New Roman"/>
          <w:outline w:val="0"/>
          <w:color w:val="434343"/>
          <w:sz w:val="24"/>
          <w:szCs w:val="24"/>
          <w:u w:color="434343"/>
          <w14:textFill>
            <w14:solidFill>
              <w14:srgbClr w14:val="434343"/>
            </w14:solidFill>
          </w14:textFill>
        </w:rPr>
        <w:drawing xmlns:a="http://schemas.openxmlformats.org/drawingml/2006/main">
          <wp:inline distT="0" distB="0" distL="0" distR="0">
            <wp:extent cx="2539874" cy="702945"/>
            <wp:effectExtent l="0" t="0" r="0" b="0"/>
            <wp:docPr id="1073741825" name="officeArt object" descr="http://www.essenglish.org/assoc/IDEA.jpg"/>
            <wp:cNvGraphicFramePr/>
            <a:graphic xmlns:a="http://schemas.openxmlformats.org/drawingml/2006/main">
              <a:graphicData uri="http://schemas.openxmlformats.org/drawingml/2006/picture">
                <pic:pic xmlns:pic="http://schemas.openxmlformats.org/drawingml/2006/picture">
                  <pic:nvPicPr>
                    <pic:cNvPr id="1073741825" name="http://www.essenglish.org/assoc/IDEA.jpg" descr="http://www.essenglish.org/assoc/IDEA.jpg"/>
                    <pic:cNvPicPr>
                      <a:picLocks noChangeAspect="1"/>
                    </pic:cNvPicPr>
                  </pic:nvPicPr>
                  <pic:blipFill>
                    <a:blip r:embed="rId4">
                      <a:extLst/>
                    </a:blip>
                    <a:stretch>
                      <a:fillRect/>
                    </a:stretch>
                  </pic:blipFill>
                  <pic:spPr>
                    <a:xfrm>
                      <a:off x="0" y="0"/>
                      <a:ext cx="2539874" cy="702945"/>
                    </a:xfrm>
                    <a:prstGeom prst="rect">
                      <a:avLst/>
                    </a:prstGeom>
                    <a:ln w="12700" cap="flat">
                      <a:noFill/>
                      <a:miter lim="400000"/>
                    </a:ln>
                    <a:effectLst/>
                  </pic:spPr>
                </pic:pic>
              </a:graphicData>
            </a:graphic>
          </wp:inline>
        </w:drawing>
      </w:r>
    </w:p>
    <w:p>
      <w:pPr>
        <w:pStyle w:val="Gövde A"/>
        <w:spacing w:after="0" w:line="276" w:lineRule="auto"/>
        <w:jc w:val="center"/>
        <w:rPr>
          <w:rFonts w:ascii="Times New Roman" w:cs="Times New Roman" w:hAnsi="Times New Roman" w:eastAsia="Times New Roman"/>
          <w:b w:val="1"/>
          <w:bCs w:val="1"/>
          <w:outline w:val="0"/>
          <w:color w:val="000000"/>
          <w:sz w:val="28"/>
          <w:szCs w:val="28"/>
          <w:u w:val="single" w:color="000000"/>
          <w14:textFill>
            <w14:solidFill>
              <w14:srgbClr w14:val="000000"/>
            </w14:solidFill>
          </w14:textFill>
        </w:rPr>
      </w:pPr>
      <w:r>
        <w:rPr>
          <w:rFonts w:ascii="Times New Roman" w:hAnsi="Times New Roman" w:hint="default"/>
          <w:b w:val="1"/>
          <w:bCs w:val="1"/>
          <w:outline w:val="0"/>
          <w:color w:val="000000"/>
          <w:sz w:val="28"/>
          <w:szCs w:val="28"/>
          <w:u w:val="single" w:color="000000"/>
          <w:rtl w:val="0"/>
          <w:lang w:val="en-US"/>
          <w14:textFill>
            <w14:solidFill>
              <w14:srgbClr w14:val="000000"/>
            </w14:solidFill>
          </w14:textFill>
        </w:rPr>
        <w:t>İ</w:t>
      </w:r>
      <w:r>
        <w:rPr>
          <w:rFonts w:ascii="Times New Roman" w:hAnsi="Times New Roman"/>
          <w:b w:val="1"/>
          <w:bCs w:val="1"/>
          <w:outline w:val="0"/>
          <w:color w:val="000000"/>
          <w:sz w:val="28"/>
          <w:szCs w:val="28"/>
          <w:u w:val="single" w:color="000000"/>
          <w:rtl w:val="0"/>
          <w:lang w:val="en-US"/>
          <w14:textFill>
            <w14:solidFill>
              <w14:srgbClr w14:val="000000"/>
            </w14:solidFill>
          </w14:textFill>
        </w:rPr>
        <w:t>ngiliz Dili ve Edebiyat</w:t>
      </w:r>
      <w:r>
        <w:rPr>
          <w:rFonts w:ascii="Times New Roman" w:hAnsi="Times New Roman" w:hint="default"/>
          <w:b w:val="1"/>
          <w:bCs w:val="1"/>
          <w:outline w:val="0"/>
          <w:color w:val="000000"/>
          <w:sz w:val="28"/>
          <w:szCs w:val="28"/>
          <w:u w:val="single" w:color="000000"/>
          <w:rtl w:val="0"/>
          <w:lang w:val="en-US"/>
          <w14:textFill>
            <w14:solidFill>
              <w14:srgbClr w14:val="000000"/>
            </w14:solidFill>
          </w14:textFill>
        </w:rPr>
        <w:t xml:space="preserve">ı </w:t>
      </w:r>
      <w:r>
        <w:rPr>
          <w:rFonts w:ascii="Times New Roman" w:hAnsi="Times New Roman"/>
          <w:b w:val="1"/>
          <w:bCs w:val="1"/>
          <w:outline w:val="0"/>
          <w:color w:val="000000"/>
          <w:sz w:val="28"/>
          <w:szCs w:val="28"/>
          <w:u w:val="single" w:color="000000"/>
          <w:rtl w:val="0"/>
          <w:lang w:val="en-US"/>
          <w14:textFill>
            <w14:solidFill>
              <w14:srgbClr w14:val="000000"/>
            </w14:solidFill>
          </w14:textFill>
        </w:rPr>
        <w:t>Ara</w:t>
      </w:r>
      <w:r>
        <w:rPr>
          <w:rFonts w:ascii="Times New Roman" w:hAnsi="Times New Roman" w:hint="default"/>
          <w:b w:val="1"/>
          <w:bCs w:val="1"/>
          <w:outline w:val="0"/>
          <w:color w:val="000000"/>
          <w:sz w:val="28"/>
          <w:szCs w:val="28"/>
          <w:u w:val="single" w:color="000000"/>
          <w:rtl w:val="0"/>
          <w:lang w:val="en-US"/>
          <w14:textFill>
            <w14:solidFill>
              <w14:srgbClr w14:val="000000"/>
            </w14:solidFill>
          </w14:textFill>
        </w:rPr>
        <w:t>ş</w:t>
      </w:r>
      <w:r>
        <w:rPr>
          <w:rFonts w:ascii="Times New Roman" w:hAnsi="Times New Roman"/>
          <w:b w:val="1"/>
          <w:bCs w:val="1"/>
          <w:outline w:val="0"/>
          <w:color w:val="000000"/>
          <w:sz w:val="28"/>
          <w:szCs w:val="28"/>
          <w:u w:val="single" w:color="000000"/>
          <w:rtl w:val="0"/>
          <w:lang w:val="en-US"/>
          <w14:textFill>
            <w14:solidFill>
              <w14:srgbClr w14:val="000000"/>
            </w14:solidFill>
          </w14:textFill>
        </w:rPr>
        <w:t>t</w:t>
      </w:r>
      <w:r>
        <w:rPr>
          <w:rFonts w:ascii="Times New Roman" w:hAnsi="Times New Roman" w:hint="default"/>
          <w:b w:val="1"/>
          <w:bCs w:val="1"/>
          <w:outline w:val="0"/>
          <w:color w:val="000000"/>
          <w:sz w:val="28"/>
          <w:szCs w:val="28"/>
          <w:u w:val="single" w:color="000000"/>
          <w:rtl w:val="0"/>
          <w:lang w:val="en-US"/>
          <w14:textFill>
            <w14:solidFill>
              <w14:srgbClr w14:val="000000"/>
            </w14:solidFill>
          </w14:textFill>
        </w:rPr>
        <w:t>ı</w:t>
      </w:r>
      <w:r>
        <w:rPr>
          <w:rFonts w:ascii="Times New Roman" w:hAnsi="Times New Roman"/>
          <w:b w:val="1"/>
          <w:bCs w:val="1"/>
          <w:outline w:val="0"/>
          <w:color w:val="000000"/>
          <w:sz w:val="28"/>
          <w:szCs w:val="28"/>
          <w:u w:val="single" w:color="000000"/>
          <w:rtl w:val="0"/>
          <w:lang w:val="en-US"/>
          <w14:textFill>
            <w14:solidFill>
              <w14:srgbClr w14:val="000000"/>
            </w14:solidFill>
          </w14:textFill>
        </w:rPr>
        <w:t>rmalar</w:t>
      </w:r>
      <w:r>
        <w:rPr>
          <w:rFonts w:ascii="Times New Roman" w:hAnsi="Times New Roman" w:hint="default"/>
          <w:b w:val="1"/>
          <w:bCs w:val="1"/>
          <w:outline w:val="0"/>
          <w:color w:val="000000"/>
          <w:sz w:val="28"/>
          <w:szCs w:val="28"/>
          <w:u w:val="single" w:color="000000"/>
          <w:rtl w:val="0"/>
          <w:lang w:val="en-US"/>
          <w14:textFill>
            <w14:solidFill>
              <w14:srgbClr w14:val="000000"/>
            </w14:solidFill>
          </w14:textFill>
        </w:rPr>
        <w:t xml:space="preserve">ı </w:t>
      </w:r>
      <w:r>
        <w:rPr>
          <w:rFonts w:ascii="Times New Roman" w:hAnsi="Times New Roman"/>
          <w:b w:val="1"/>
          <w:bCs w:val="1"/>
          <w:outline w:val="0"/>
          <w:color w:val="000000"/>
          <w:sz w:val="28"/>
          <w:szCs w:val="28"/>
          <w:u w:val="single" w:color="000000"/>
          <w:rtl w:val="0"/>
          <w:lang w:val="en-US"/>
          <w14:textFill>
            <w14:solidFill>
              <w14:srgbClr w14:val="000000"/>
            </w14:solidFill>
          </w14:textFill>
        </w:rPr>
        <w:t>Derne</w:t>
      </w:r>
      <w:r>
        <w:rPr>
          <w:rFonts w:ascii="Times New Roman" w:hAnsi="Times New Roman" w:hint="default"/>
          <w:b w:val="1"/>
          <w:bCs w:val="1"/>
          <w:outline w:val="0"/>
          <w:color w:val="000000"/>
          <w:sz w:val="28"/>
          <w:szCs w:val="28"/>
          <w:u w:val="single" w:color="000000"/>
          <w:rtl w:val="0"/>
          <w:lang w:val="en-US"/>
          <w14:textFill>
            <w14:solidFill>
              <w14:srgbClr w14:val="000000"/>
            </w14:solidFill>
          </w14:textFill>
        </w:rPr>
        <w:t>ğ</w:t>
      </w:r>
      <w:r>
        <w:rPr>
          <w:rFonts w:ascii="Times New Roman" w:hAnsi="Times New Roman"/>
          <w:b w:val="1"/>
          <w:bCs w:val="1"/>
          <w:outline w:val="0"/>
          <w:color w:val="000000"/>
          <w:sz w:val="28"/>
          <w:szCs w:val="28"/>
          <w:u w:val="single" w:color="000000"/>
          <w:rtl w:val="0"/>
          <w:lang w:val="en-US"/>
          <w14:textFill>
            <w14:solidFill>
              <w14:srgbClr w14:val="000000"/>
            </w14:solidFill>
          </w14:textFill>
        </w:rPr>
        <w:t>i (</w:t>
      </w:r>
      <w:r>
        <w:rPr>
          <w:rFonts w:ascii="Times New Roman" w:hAnsi="Times New Roman" w:hint="default"/>
          <w:b w:val="1"/>
          <w:bCs w:val="1"/>
          <w:outline w:val="0"/>
          <w:color w:val="000000"/>
          <w:sz w:val="28"/>
          <w:szCs w:val="28"/>
          <w:u w:val="single" w:color="000000"/>
          <w:rtl w:val="0"/>
          <w:lang w:val="en-US"/>
          <w14:textFill>
            <w14:solidFill>
              <w14:srgbClr w14:val="000000"/>
            </w14:solidFill>
          </w14:textFill>
        </w:rPr>
        <w:t>İ</w:t>
      </w:r>
      <w:r>
        <w:rPr>
          <w:rFonts w:ascii="Times New Roman" w:hAnsi="Times New Roman"/>
          <w:b w:val="1"/>
          <w:bCs w:val="1"/>
          <w:outline w:val="0"/>
          <w:color w:val="000000"/>
          <w:sz w:val="28"/>
          <w:szCs w:val="28"/>
          <w:u w:val="single" w:color="000000"/>
          <w:rtl w:val="0"/>
          <w:lang w:val="en-US"/>
          <w14:textFill>
            <w14:solidFill>
              <w14:srgbClr w14:val="000000"/>
            </w14:solidFill>
          </w14:textFill>
        </w:rPr>
        <w:t>DEA)</w:t>
      </w:r>
    </w:p>
    <w:p>
      <w:pPr>
        <w:pStyle w:val="Gövde A"/>
        <w:pBdr>
          <w:top w:val="nil"/>
          <w:left w:val="nil"/>
          <w:bottom w:val="single" w:color="000000" w:sz="12" w:space="0" w:shadow="0" w:frame="0"/>
          <w:right w:val="nil"/>
        </w:pBdr>
        <w:spacing w:after="0" w:line="240" w:lineRule="auto"/>
        <w:jc w:val="center"/>
        <w:rPr>
          <w:sz w:val="28"/>
          <w:szCs w:val="28"/>
        </w:rPr>
      </w:pPr>
      <w:r>
        <w:rPr>
          <w:rFonts w:ascii="Times New Roman" w:hAnsi="Times New Roman"/>
          <w:b w:val="1"/>
          <w:bCs w:val="1"/>
          <w:sz w:val="28"/>
          <w:szCs w:val="28"/>
          <w:rtl w:val="0"/>
          <w:lang w:val="en-US"/>
        </w:rPr>
        <w:t>The English Language and Literature Research Association of Turkey</w:t>
      </w:r>
    </w:p>
    <w:p>
      <w:pPr>
        <w:pStyle w:val="Gövde A"/>
        <w:jc w:val="center"/>
        <w:rPr>
          <w:rFonts w:ascii="Times New Roman" w:cs="Times New Roman" w:hAnsi="Times New Roman" w:eastAsia="Times New Roman"/>
          <w:b w:val="1"/>
          <w:bCs w:val="1"/>
          <w:sz w:val="24"/>
          <w:szCs w:val="24"/>
          <w:lang w:val="en-US"/>
        </w:rPr>
      </w:pPr>
    </w:p>
    <w:p>
      <w:pPr>
        <w:pStyle w:val="Gövde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IDEA BOOK AWARD PRINCIPLES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Books to be submitted for the IDEA book award must be, either specifically or comparatively, in the field of English literary and cultural studies. They must be works of scholarly research and creativity. </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They must have been published between 01 November 20</w:t>
      </w:r>
      <w:r>
        <w:rPr>
          <w:rFonts w:ascii="Times New Roman" w:hAnsi="Times New Roman"/>
          <w:sz w:val="24"/>
          <w:szCs w:val="24"/>
          <w:rtl w:val="0"/>
        </w:rPr>
        <w:t>21</w:t>
      </w:r>
      <w:r>
        <w:rPr>
          <w:rFonts w:ascii="Times New Roman" w:hAnsi="Times New Roman"/>
          <w:sz w:val="24"/>
          <w:szCs w:val="24"/>
          <w:rtl w:val="0"/>
          <w:lang w:val="en-US"/>
        </w:rPr>
        <w:t xml:space="preserve"> and 30 October 202</w:t>
      </w:r>
      <w:r>
        <w:rPr>
          <w:rFonts w:ascii="Times New Roman" w:hAnsi="Times New Roman"/>
          <w:sz w:val="24"/>
          <w:szCs w:val="24"/>
          <w:rtl w:val="0"/>
        </w:rPr>
        <w:t>3</w:t>
      </w:r>
      <w:r>
        <w:rPr>
          <w:rFonts w:ascii="Times New Roman" w:hAnsi="Times New Roman"/>
          <w:sz w:val="24"/>
          <w:szCs w:val="24"/>
          <w:rtl w:val="0"/>
          <w:lang w:val="en-US"/>
        </w:rPr>
        <w:t xml:space="preserve"> by an internationally or nationally acclaimed publisher. For eligibility, the publishers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criteria of the Turkish Higher Education Council (Y</w:t>
      </w:r>
      <w:r>
        <w:rPr>
          <w:rFonts w:ascii="Times New Roman" w:hAnsi="Times New Roman" w:hint="default"/>
          <w:sz w:val="24"/>
          <w:szCs w:val="24"/>
          <w:rtl w:val="0"/>
          <w:lang w:val="en-US"/>
        </w:rPr>
        <w:t>Ö</w:t>
      </w:r>
      <w:r>
        <w:rPr>
          <w:rFonts w:ascii="Times New Roman" w:hAnsi="Times New Roman"/>
          <w:sz w:val="24"/>
          <w:szCs w:val="24"/>
          <w:rtl w:val="0"/>
          <w:lang w:val="en-US"/>
        </w:rPr>
        <w:t xml:space="preserve">K) will be consulted. </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Authors employed at a Turkish Higher Education Institution or independent researchers residing in Turkey may apply. In the case of non-Turkish authors, they must have been living and working in Turkey for at least five years.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Books must have been written </w:t>
      </w:r>
      <w:r>
        <w:rPr>
          <w:rFonts w:ascii="Times New Roman" w:hAnsi="Times New Roman"/>
          <w:b w:val="1"/>
          <w:bCs w:val="1"/>
          <w:sz w:val="24"/>
          <w:szCs w:val="24"/>
          <w:rtl w:val="0"/>
          <w:lang w:val="en-US"/>
        </w:rPr>
        <w:t>either</w:t>
      </w:r>
      <w:r>
        <w:rPr>
          <w:rFonts w:ascii="Times New Roman" w:hAnsi="Times New Roman"/>
          <w:sz w:val="24"/>
          <w:szCs w:val="24"/>
          <w:rtl w:val="0"/>
          <w:lang w:val="en-US"/>
        </w:rPr>
        <w:t xml:space="preserve"> in English </w:t>
      </w:r>
      <w:r>
        <w:rPr>
          <w:rFonts w:ascii="Times New Roman" w:hAnsi="Times New Roman"/>
          <w:b w:val="1"/>
          <w:bCs w:val="1"/>
          <w:sz w:val="24"/>
          <w:szCs w:val="24"/>
          <w:rtl w:val="0"/>
          <w:lang w:val="en-US"/>
        </w:rPr>
        <w:t>or</w:t>
      </w:r>
      <w:r>
        <w:rPr>
          <w:rFonts w:ascii="Times New Roman" w:hAnsi="Times New Roman"/>
          <w:sz w:val="24"/>
          <w:szCs w:val="24"/>
          <w:rtl w:val="0"/>
          <w:lang w:val="en-US"/>
        </w:rPr>
        <w:t xml:space="preserve"> Turkish.</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Books of collected essays, anthologies, conference proceedings, reference books, translations, course books, and reprints of books published in previous years are </w:t>
      </w:r>
      <w:r>
        <w:rPr>
          <w:rFonts w:ascii="Times New Roman" w:hAnsi="Times New Roman"/>
          <w:b w:val="1"/>
          <w:bCs w:val="1"/>
          <w:sz w:val="24"/>
          <w:szCs w:val="24"/>
          <w:u w:val="single"/>
          <w:rtl w:val="0"/>
          <w:lang w:val="en-US"/>
        </w:rPr>
        <w:t>not</w:t>
      </w:r>
      <w:r>
        <w:rPr>
          <w:rFonts w:ascii="Times New Roman" w:hAnsi="Times New Roman"/>
          <w:sz w:val="24"/>
          <w:szCs w:val="24"/>
          <w:rtl w:val="0"/>
          <w:lang w:val="en-US"/>
        </w:rPr>
        <w:t xml:space="preserve"> eligible for award consideration. </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All submitted books must be accompanied with an Ithenticate/Turnitin similarity report of no more than 15 %.</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Any number of books may be submitted by the same author provided that they are published within the period of the announced dates. </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In the case of joint works or winners, the award shall be shared among the authors.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Six hard copies and one pdf copy of each book must be submitted for consideration. No book shall be considered for an award unless six copies have been received. The copies will not be returned to the authors.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A committee of five members as referees and reviewers for the books shall be appointed by the IDEA Executive Board. The Committee shall present to the IDEA Executive Board a detailed review report on each book submitted for the award. </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committee shall recommend the award to the IDEA Executive Board or it may recommend that no award be given.</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The award will have to be ratified by the general board members at the 202</w:t>
      </w:r>
      <w:r>
        <w:rPr>
          <w:rFonts w:ascii="Times New Roman" w:hAnsi="Times New Roman"/>
          <w:sz w:val="24"/>
          <w:szCs w:val="24"/>
          <w:shd w:val="clear" w:color="auto" w:fill="ffffff"/>
          <w:rtl w:val="0"/>
        </w:rPr>
        <w:t>4</w:t>
      </w:r>
      <w:r>
        <w:rPr>
          <w:rFonts w:ascii="Times New Roman" w:hAnsi="Times New Roman"/>
          <w:sz w:val="24"/>
          <w:szCs w:val="24"/>
          <w:shd w:val="clear" w:color="auto" w:fill="ffffff"/>
          <w:rtl w:val="0"/>
          <w:lang w:val="en-US"/>
        </w:rPr>
        <w:t xml:space="preserve"> General Board meeting.</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winner shall be announced, and the award granted, at the concluding session of the 202</w:t>
      </w:r>
      <w:r>
        <w:rPr>
          <w:rFonts w:ascii="Times New Roman" w:hAnsi="Times New Roman"/>
          <w:sz w:val="24"/>
          <w:szCs w:val="24"/>
          <w:rtl w:val="0"/>
        </w:rPr>
        <w:t>4</w:t>
      </w:r>
      <w:r>
        <w:rPr>
          <w:rFonts w:ascii="Times New Roman" w:hAnsi="Times New Roman"/>
          <w:sz w:val="24"/>
          <w:szCs w:val="24"/>
          <w:rtl w:val="0"/>
          <w:lang w:val="en-US"/>
        </w:rPr>
        <w:t xml:space="preserve"> International IDEA Conference.</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The winner shall receive an award of 2.000 (two thousand) Turkish Liras.  </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Six hard copies of books, published between the dates 01 November 20</w:t>
      </w:r>
      <w:r>
        <w:rPr>
          <w:rFonts w:ascii="Times New Roman" w:hAnsi="Times New Roman"/>
          <w:sz w:val="24"/>
          <w:szCs w:val="24"/>
          <w:rtl w:val="0"/>
        </w:rPr>
        <w:t>21</w:t>
      </w:r>
      <w:r>
        <w:rPr>
          <w:rFonts w:ascii="Times New Roman" w:hAnsi="Times New Roman"/>
          <w:sz w:val="24"/>
          <w:szCs w:val="24"/>
          <w:rtl w:val="0"/>
          <w:lang w:val="en-US"/>
        </w:rPr>
        <w:t xml:space="preserve"> and 30 October 202</w:t>
      </w:r>
      <w:r>
        <w:rPr>
          <w:rFonts w:ascii="Times New Roman" w:hAnsi="Times New Roman"/>
          <w:sz w:val="24"/>
          <w:szCs w:val="24"/>
          <w:rtl w:val="0"/>
        </w:rPr>
        <w:t>3</w:t>
      </w:r>
      <w:r>
        <w:rPr>
          <w:rFonts w:ascii="Times New Roman" w:hAnsi="Times New Roman"/>
          <w:sz w:val="24"/>
          <w:szCs w:val="24"/>
          <w:rtl w:val="0"/>
          <w:lang w:val="en-US"/>
        </w:rPr>
        <w:t>, must be posted along with one pdf copy by 30 November 202</w:t>
      </w:r>
      <w:r>
        <w:rPr>
          <w:rFonts w:ascii="Times New Roman" w:hAnsi="Times New Roman"/>
          <w:sz w:val="24"/>
          <w:szCs w:val="24"/>
          <w:rtl w:val="0"/>
        </w:rPr>
        <w:t>3</w:t>
      </w:r>
      <w:r>
        <w:rPr>
          <w:rFonts w:ascii="Times New Roman" w:hAnsi="Times New Roman"/>
          <w:sz w:val="24"/>
          <w:szCs w:val="24"/>
          <w:rtl w:val="0"/>
          <w:lang w:val="en-US"/>
        </w:rPr>
        <w:t xml:space="preserve"> to:</w:t>
      </w:r>
    </w:p>
    <w:p>
      <w:pPr>
        <w:pStyle w:val="List Paragraph"/>
        <w:ind w:left="1416" w:firstLine="0"/>
        <w:jc w:val="both"/>
        <w:rPr>
          <w:rFonts w:ascii="Times New Roman" w:cs="Times New Roman" w:hAnsi="Times New Roman" w:eastAsia="Times New Roman"/>
          <w:sz w:val="24"/>
          <w:szCs w:val="24"/>
        </w:rPr>
      </w:pPr>
    </w:p>
    <w:p>
      <w:pPr>
        <w:pStyle w:val="List Paragraph"/>
        <w:ind w:left="1416"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Prof. Dr. Mehmet Ali </w:t>
      </w:r>
      <w:r>
        <w:rPr>
          <w:rFonts w:ascii="Times New Roman" w:hAnsi="Times New Roman" w:hint="default"/>
          <w:sz w:val="24"/>
          <w:szCs w:val="24"/>
          <w:rtl w:val="0"/>
          <w:lang w:val="en-US"/>
        </w:rPr>
        <w:t>Ç</w:t>
      </w:r>
      <w:r>
        <w:rPr>
          <w:rFonts w:ascii="Times New Roman" w:hAnsi="Times New Roman"/>
          <w:sz w:val="24"/>
          <w:szCs w:val="24"/>
          <w:rtl w:val="0"/>
          <w:lang w:val="en-US"/>
        </w:rPr>
        <w:t>elikel</w:t>
      </w:r>
    </w:p>
    <w:p>
      <w:pPr>
        <w:pStyle w:val="List Paragraph"/>
        <w:ind w:left="1416" w:firstLine="0"/>
        <w:jc w:val="both"/>
        <w:rPr>
          <w:rFonts w:ascii="Times New Roman" w:cs="Times New Roman" w:hAnsi="Times New Roman" w:eastAsia="Times New Roman"/>
          <w:sz w:val="24"/>
          <w:szCs w:val="24"/>
        </w:rPr>
      </w:pPr>
      <w:r>
        <w:rPr>
          <w:rFonts w:ascii="Times New Roman" w:hAnsi="Times New Roman"/>
          <w:sz w:val="24"/>
          <w:szCs w:val="24"/>
          <w:rtl w:val="0"/>
        </w:rPr>
        <w:t>Marmara</w:t>
      </w:r>
      <w:r>
        <w:rPr>
          <w:rFonts w:ascii="Times New Roman" w:hAnsi="Times New Roman"/>
          <w:sz w:val="24"/>
          <w:szCs w:val="24"/>
          <w:rtl w:val="0"/>
          <w:lang w:val="en-US"/>
        </w:rPr>
        <w:t xml:space="preserve"> University</w:t>
      </w:r>
    </w:p>
    <w:p>
      <w:pPr>
        <w:pStyle w:val="List Paragraph"/>
        <w:ind w:left="1416" w:firstLine="0"/>
        <w:jc w:val="both"/>
        <w:rPr>
          <w:rFonts w:ascii="Times New Roman" w:cs="Times New Roman" w:hAnsi="Times New Roman" w:eastAsia="Times New Roman"/>
          <w:sz w:val="24"/>
          <w:szCs w:val="24"/>
        </w:rPr>
      </w:pPr>
      <w:r>
        <w:rPr>
          <w:rFonts w:ascii="Times New Roman" w:hAnsi="Times New Roman" w:hint="default"/>
          <w:sz w:val="24"/>
          <w:szCs w:val="24"/>
          <w:rtl w:val="0"/>
        </w:rPr>
        <w:t>İ</w:t>
      </w:r>
      <w:r>
        <w:rPr>
          <w:rFonts w:ascii="Times New Roman" w:hAnsi="Times New Roman"/>
          <w:sz w:val="24"/>
          <w:szCs w:val="24"/>
          <w:rtl w:val="0"/>
        </w:rPr>
        <w:t xml:space="preserve">nsan ve Toplum Bilimleri </w:t>
      </w:r>
      <w:r>
        <w:rPr>
          <w:rFonts w:ascii="Times New Roman" w:hAnsi="Times New Roman"/>
          <w:sz w:val="24"/>
          <w:szCs w:val="24"/>
          <w:rtl w:val="0"/>
          <w:lang w:val="en-US"/>
        </w:rPr>
        <w:t>Fak</w:t>
      </w:r>
      <w:r>
        <w:rPr>
          <w:rFonts w:ascii="Times New Roman" w:hAnsi="Times New Roman" w:hint="default"/>
          <w:sz w:val="24"/>
          <w:szCs w:val="24"/>
          <w:rtl w:val="0"/>
        </w:rPr>
        <w:t>ü</w:t>
      </w:r>
      <w:r>
        <w:rPr>
          <w:rFonts w:ascii="Times New Roman" w:hAnsi="Times New Roman"/>
          <w:sz w:val="24"/>
          <w:szCs w:val="24"/>
          <w:rtl w:val="0"/>
          <w:lang w:val="en-US"/>
        </w:rPr>
        <w:t>ltesi</w:t>
      </w:r>
    </w:p>
    <w:p>
      <w:pPr>
        <w:pStyle w:val="List Paragraph"/>
        <w:ind w:left="1416" w:firstLine="0"/>
        <w:jc w:val="both"/>
        <w:rPr>
          <w:rFonts w:ascii="Times New Roman" w:cs="Times New Roman" w:hAnsi="Times New Roman" w:eastAsia="Times New Roman"/>
          <w:sz w:val="24"/>
          <w:szCs w:val="24"/>
        </w:rPr>
      </w:pPr>
      <w:r>
        <w:rPr>
          <w:rFonts w:ascii="Times New Roman" w:hAnsi="Times New Roman" w:hint="default"/>
          <w:sz w:val="24"/>
          <w:szCs w:val="24"/>
          <w:rtl w:val="0"/>
          <w:lang w:val="en-US"/>
        </w:rPr>
        <w:t>İ</w:t>
      </w:r>
      <w:r>
        <w:rPr>
          <w:rFonts w:ascii="Times New Roman" w:hAnsi="Times New Roman"/>
          <w:sz w:val="24"/>
          <w:szCs w:val="24"/>
          <w:rtl w:val="0"/>
          <w:lang w:val="en-US"/>
        </w:rPr>
        <w:t>ngiliz Dili ve Edebiyat</w:t>
      </w:r>
      <w:r>
        <w:rPr>
          <w:rFonts w:ascii="Times New Roman" w:hAnsi="Times New Roman" w:hint="default"/>
          <w:sz w:val="24"/>
          <w:szCs w:val="24"/>
          <w:rtl w:val="0"/>
        </w:rPr>
        <w:t>ı</w:t>
      </w:r>
      <w:r>
        <w:rPr>
          <w:rFonts w:ascii="Times New Roman" w:hAnsi="Times New Roman"/>
          <w:sz w:val="24"/>
          <w:szCs w:val="24"/>
          <w:rtl w:val="0"/>
          <w:lang w:val="en-US"/>
        </w:rPr>
        <w:t xml:space="preserve"> Bolumu </w:t>
      </w:r>
    </w:p>
    <w:p>
      <w:pPr>
        <w:pStyle w:val="List Paragraph"/>
        <w:ind w:left="1416" w:firstLine="0"/>
        <w:jc w:val="both"/>
        <w:rPr>
          <w:rFonts w:ascii="Times New Roman" w:cs="Times New Roman" w:hAnsi="Times New Roman" w:eastAsia="Times New Roman"/>
          <w:sz w:val="24"/>
          <w:szCs w:val="24"/>
        </w:rPr>
      </w:pPr>
      <w:r>
        <w:rPr>
          <w:rFonts w:ascii="Times New Roman" w:hAnsi="Times New Roman"/>
          <w:sz w:val="24"/>
          <w:szCs w:val="24"/>
          <w:rtl w:val="0"/>
          <w:lang w:val="en-US"/>
        </w:rPr>
        <w:t>(Department of English Language and Literature)</w:t>
      </w:r>
    </w:p>
    <w:p>
      <w:pPr>
        <w:pStyle w:val="List Paragraph"/>
        <w:ind w:left="1416" w:firstLine="0"/>
        <w:jc w:val="both"/>
        <w:rPr>
          <w:rFonts w:ascii="Times New Roman" w:cs="Times New Roman" w:hAnsi="Times New Roman" w:eastAsia="Times New Roman"/>
          <w:sz w:val="24"/>
          <w:szCs w:val="24"/>
        </w:rPr>
      </w:pPr>
      <w:r>
        <w:rPr>
          <w:rFonts w:ascii="Times New Roman" w:hAnsi="Times New Roman"/>
          <w:sz w:val="24"/>
          <w:szCs w:val="24"/>
          <w:rtl w:val="0"/>
        </w:rPr>
        <w:t>34722</w:t>
      </w:r>
    </w:p>
    <w:p>
      <w:pPr>
        <w:pStyle w:val="List Paragraph"/>
        <w:ind w:left="1416" w:firstLine="0"/>
        <w:jc w:val="both"/>
        <w:rPr>
          <w:rFonts w:ascii="Times New Roman" w:cs="Times New Roman" w:hAnsi="Times New Roman" w:eastAsia="Times New Roman"/>
          <w:sz w:val="24"/>
          <w:szCs w:val="24"/>
        </w:rPr>
      </w:pPr>
      <w:r>
        <w:rPr>
          <w:rFonts w:ascii="Times New Roman" w:hAnsi="Times New Roman" w:hint="default"/>
          <w:sz w:val="24"/>
          <w:szCs w:val="24"/>
          <w:rtl w:val="0"/>
        </w:rPr>
        <w:t>İ</w:t>
      </w:r>
      <w:r>
        <w:rPr>
          <w:rFonts w:ascii="Times New Roman" w:hAnsi="Times New Roman"/>
          <w:sz w:val="24"/>
          <w:szCs w:val="24"/>
          <w:rtl w:val="0"/>
        </w:rPr>
        <w:t>stanbul</w:t>
      </w:r>
      <w:r>
        <w:rPr>
          <w:rFonts w:ascii="Times New Roman" w:hAnsi="Times New Roman"/>
          <w:sz w:val="24"/>
          <w:szCs w:val="24"/>
          <w:rtl w:val="0"/>
          <w:lang w:val="en-US"/>
        </w:rPr>
        <w:t xml:space="preserve"> / Turkey</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copies posted after 30 November 202</w:t>
      </w:r>
      <w:r>
        <w:rPr>
          <w:rFonts w:ascii="Times New Roman" w:hAnsi="Times New Roman"/>
          <w:sz w:val="24"/>
          <w:szCs w:val="24"/>
          <w:rtl w:val="0"/>
        </w:rPr>
        <w:t>3</w:t>
      </w:r>
      <w:r>
        <w:rPr>
          <w:rFonts w:ascii="Times New Roman" w:hAnsi="Times New Roman"/>
          <w:sz w:val="24"/>
          <w:szCs w:val="24"/>
          <w:rtl w:val="0"/>
          <w:lang w:val="en-US"/>
        </w:rPr>
        <w:t xml:space="preserve"> shall not be considered for award eligibility. </w:t>
      </w:r>
    </w:p>
    <w:p>
      <w:pPr>
        <w:pStyle w:val="List Paragraph"/>
        <w:pBdr>
          <w:top w:val="nil"/>
          <w:left w:val="nil"/>
          <w:bottom w:val="single" w:color="000000" w:sz="12" w:space="0" w:shadow="0" w:frame="0"/>
          <w:right w:val="nil"/>
        </w:pBdr>
        <w:jc w:val="both"/>
      </w:pPr>
      <w:r>
        <w:rPr>
          <w:rFonts w:ascii="Times New Roman" w:cs="Times New Roman" w:hAnsi="Times New Roman" w:eastAsia="Times New Roman"/>
          <w:sz w:val="24"/>
          <w:szCs w:val="24"/>
        </w:rPr>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çe Aktarılan 1 Stili"/>
  </w:abstractNum>
  <w:abstractNum w:abstractNumId="1">
    <w:multiLevelType w:val="hybridMultilevel"/>
    <w:styleLink w:val="İçe Aktarılan 1 Stili"/>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Gövde A">
    <w:name w:val="Gövde A"/>
    <w:next w:val="Gövde A"/>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çe Aktarılan 1 Stili">
    <w:name w:val="İçe Aktarılan 1 Stili"/>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